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8B" w:rsidRDefault="008D5743">
      <w:pPr>
        <w:tabs>
          <w:tab w:val="center" w:pos="4153"/>
          <w:tab w:val="right" w:pos="8306"/>
          <w:tab w:val="right" w:pos="10200"/>
        </w:tabs>
        <w:jc w:val="right"/>
        <w:rPr>
          <w:rFonts w:ascii="PT Astra Serif" w:eastAsia="Times New Roman" w:hAnsi="PT Astra Serif"/>
          <w:sz w:val="24"/>
          <w:szCs w:val="24"/>
          <w:lang w:eastAsia="ar-SA"/>
        </w:rPr>
      </w:pPr>
      <w:r>
        <w:rPr>
          <w:rFonts w:ascii="PT Astra Serif" w:eastAsia="Times New Roman" w:hAnsi="PT Astra Serif"/>
          <w:sz w:val="24"/>
          <w:szCs w:val="24"/>
          <w:lang w:eastAsia="ar-SA"/>
        </w:rPr>
        <w:t>Приложение №1</w:t>
      </w:r>
    </w:p>
    <w:p w:rsidR="00BA798B" w:rsidRDefault="008D5743">
      <w:pPr>
        <w:tabs>
          <w:tab w:val="center" w:pos="4153"/>
          <w:tab w:val="right" w:pos="8306"/>
          <w:tab w:val="right" w:pos="10200"/>
        </w:tabs>
        <w:jc w:val="right"/>
        <w:rPr>
          <w:rFonts w:ascii="PT Astra Serif" w:eastAsia="Times New Roman" w:hAnsi="PT Astra Serif"/>
          <w:sz w:val="24"/>
          <w:szCs w:val="24"/>
          <w:lang w:eastAsia="ar-SA"/>
        </w:rPr>
      </w:pPr>
      <w:r>
        <w:rPr>
          <w:rFonts w:ascii="PT Astra Serif" w:eastAsia="Times New Roman" w:hAnsi="PT Astra Serif"/>
          <w:sz w:val="24"/>
          <w:szCs w:val="24"/>
          <w:lang w:eastAsia="ar-SA"/>
        </w:rPr>
        <w:t xml:space="preserve">к муниципальному контракту </w:t>
      </w:r>
    </w:p>
    <w:p w:rsidR="00BA798B" w:rsidRDefault="00BA798B">
      <w:pPr>
        <w:jc w:val="center"/>
        <w:rPr>
          <w:rFonts w:ascii="PT Astra Serif" w:eastAsia="Times New Roman" w:hAnsi="PT Astra Serif"/>
          <w:b/>
          <w:sz w:val="24"/>
          <w:szCs w:val="24"/>
        </w:rPr>
      </w:pPr>
    </w:p>
    <w:p w:rsidR="00BA798B" w:rsidRDefault="008D5743">
      <w:pPr>
        <w:contextualSpacing/>
        <w:jc w:val="center"/>
        <w:outlineLvl w:val="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Описание объекта закупки (Техническое задание)</w:t>
      </w:r>
    </w:p>
    <w:p w:rsidR="002E5CB9" w:rsidRDefault="002E5CB9">
      <w:pPr>
        <w:ind w:right="-1"/>
        <w:contextualSpacing/>
        <w:jc w:val="center"/>
        <w:outlineLvl w:val="0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>на о</w:t>
      </w:r>
      <w:r w:rsidR="008D5743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 xml:space="preserve">казание услуг по </w:t>
      </w:r>
      <w:r w:rsidRPr="002E5CB9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 xml:space="preserve">лабораторному сопровождению объекта: </w:t>
      </w:r>
    </w:p>
    <w:p w:rsidR="00BA798B" w:rsidRDefault="002E5CB9">
      <w:pPr>
        <w:ind w:right="-1"/>
        <w:contextualSpacing/>
        <w:jc w:val="center"/>
        <w:outlineLvl w:val="0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  <w:r w:rsidRPr="002E5CB9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 xml:space="preserve">«Реконструкция улицы Садовая в городе </w:t>
      </w:r>
      <w:proofErr w:type="spellStart"/>
      <w:r w:rsidRPr="002E5CB9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>Югорске</w:t>
      </w:r>
      <w:proofErr w:type="spellEnd"/>
      <w:r w:rsidRPr="002E5CB9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>»</w:t>
      </w:r>
    </w:p>
    <w:p w:rsidR="00BA798B" w:rsidRDefault="00BA798B">
      <w:pPr>
        <w:contextualSpacing/>
        <w:jc w:val="center"/>
        <w:outlineLvl w:val="0"/>
        <w:rPr>
          <w:rFonts w:ascii="PT Astra Serif" w:eastAsia="Times New Roman" w:hAnsi="PT Astra Serif"/>
          <w:b/>
          <w:bCs/>
          <w:caps/>
          <w:sz w:val="24"/>
          <w:szCs w:val="24"/>
          <w:lang w:eastAsia="ru-RU"/>
        </w:rPr>
      </w:pPr>
    </w:p>
    <w:p w:rsidR="00552DC8" w:rsidRPr="00552DC8" w:rsidRDefault="008D5743" w:rsidP="00552DC8">
      <w:pPr>
        <w:ind w:right="-1"/>
        <w:contextualSpacing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eastAsia="Times New Roman" w:hAnsi="PT Astra Serif"/>
          <w:bCs/>
          <w:sz w:val="24"/>
          <w:szCs w:val="24"/>
        </w:rPr>
        <w:t>1.</w:t>
      </w:r>
      <w:r>
        <w:rPr>
          <w:rFonts w:ascii="PT Astra Serif" w:eastAsia="Times New Roman" w:hAnsi="PT Astra Serif"/>
          <w:sz w:val="24"/>
          <w:szCs w:val="24"/>
        </w:rPr>
        <w:t xml:space="preserve"> </w:t>
      </w:r>
      <w:r w:rsidRPr="00552DC8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Оказание услуг </w:t>
      </w:r>
      <w:r w:rsidR="00552DC8" w:rsidRPr="00552DC8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по лабораторному сопровождению объекта: «Реконструкция улицы Садовая в городе </w:t>
      </w:r>
      <w:proofErr w:type="spellStart"/>
      <w:r w:rsidR="00552DC8" w:rsidRPr="00552DC8">
        <w:rPr>
          <w:rFonts w:ascii="PT Astra Serif" w:eastAsia="Times New Roman" w:hAnsi="PT Astra Serif"/>
          <w:bCs/>
          <w:sz w:val="24"/>
          <w:szCs w:val="24"/>
          <w:lang w:eastAsia="ru-RU"/>
        </w:rPr>
        <w:t>Югорске</w:t>
      </w:r>
      <w:proofErr w:type="spellEnd"/>
      <w:r w:rsidR="00552DC8" w:rsidRPr="00552DC8">
        <w:rPr>
          <w:rFonts w:ascii="PT Astra Serif" w:eastAsia="Times New Roman" w:hAnsi="PT Astra Serif"/>
          <w:bCs/>
          <w:sz w:val="24"/>
          <w:szCs w:val="24"/>
          <w:lang w:eastAsia="ru-RU"/>
        </w:rPr>
        <w:t>»</w:t>
      </w:r>
      <w:r w:rsidR="00552DC8" w:rsidRPr="00552DC8">
        <w:rPr>
          <w:rFonts w:ascii="PT Astra Serif" w:eastAsia="Times New Roman" w:hAnsi="PT Astra Serif"/>
          <w:bCs/>
          <w:sz w:val="24"/>
          <w:szCs w:val="24"/>
          <w:lang w:eastAsia="ru-RU"/>
        </w:rPr>
        <w:t>.</w:t>
      </w:r>
    </w:p>
    <w:p w:rsidR="00BA798B" w:rsidRPr="00552DC8" w:rsidRDefault="008D5743" w:rsidP="00552DC8">
      <w:pPr>
        <w:ind w:right="-1"/>
        <w:contextualSpacing/>
        <w:outlineLvl w:val="0"/>
        <w:rPr>
          <w:rFonts w:ascii="PT Astra Serif" w:eastAsia="Times New Roman" w:hAnsi="PT Astra Serif"/>
          <w:sz w:val="24"/>
          <w:szCs w:val="24"/>
          <w:lang w:eastAsia="ru-RU"/>
        </w:rPr>
      </w:pPr>
      <w:r w:rsidRPr="00552DC8">
        <w:rPr>
          <w:rFonts w:ascii="PT Astra Serif" w:eastAsia="Times New Roman" w:hAnsi="PT Astra Serif"/>
          <w:bCs/>
          <w:sz w:val="24"/>
          <w:szCs w:val="24"/>
        </w:rPr>
        <w:t>2.</w:t>
      </w:r>
      <w:r w:rsidRPr="00552DC8">
        <w:rPr>
          <w:rFonts w:ascii="PT Astra Serif" w:hAnsi="PT Astra Serif"/>
          <w:sz w:val="24"/>
          <w:szCs w:val="24"/>
          <w:lang w:eastAsia="ru-RU"/>
        </w:rPr>
        <w:t xml:space="preserve"> Место </w:t>
      </w:r>
      <w:r w:rsidRPr="00552DC8">
        <w:rPr>
          <w:rFonts w:ascii="PT Astra Serif" w:eastAsia="Times New Roman" w:hAnsi="PT Astra Serif"/>
          <w:bCs/>
          <w:sz w:val="24"/>
          <w:szCs w:val="24"/>
          <w:lang w:eastAsia="ru-RU"/>
        </w:rPr>
        <w:t>оказания услуг</w:t>
      </w:r>
      <w:r w:rsidRPr="00552DC8">
        <w:rPr>
          <w:rFonts w:ascii="PT Astra Serif" w:hAnsi="PT Astra Serif"/>
          <w:sz w:val="24"/>
          <w:szCs w:val="24"/>
          <w:lang w:eastAsia="ru-RU"/>
        </w:rPr>
        <w:t>:</w:t>
      </w:r>
      <w:r w:rsidRPr="00552DC8">
        <w:rPr>
          <w:rFonts w:ascii="PT Astra Serif" w:hAnsi="PT Astra Serif"/>
          <w:sz w:val="24"/>
          <w:szCs w:val="24"/>
        </w:rPr>
        <w:t xml:space="preserve"> Ханты-Мансийский автономный округ - Югра, г. Югорск, </w:t>
      </w:r>
      <w:r w:rsidR="002E5CB9">
        <w:rPr>
          <w:rFonts w:ascii="PT Astra Serif" w:hAnsi="PT Astra Serif"/>
          <w:sz w:val="24"/>
          <w:szCs w:val="24"/>
        </w:rPr>
        <w:t xml:space="preserve">                 </w:t>
      </w:r>
      <w:r w:rsidR="00552DC8" w:rsidRPr="00552DC8">
        <w:rPr>
          <w:rFonts w:ascii="PT Astra Serif" w:hAnsi="PT Astra Serif"/>
          <w:sz w:val="24"/>
          <w:szCs w:val="24"/>
        </w:rPr>
        <w:t>ул. Садовая.</w:t>
      </w:r>
    </w:p>
    <w:p w:rsidR="00BA798B" w:rsidRPr="00552DC8" w:rsidRDefault="008D5743">
      <w:pPr>
        <w:rPr>
          <w:rFonts w:ascii="PT Astra Serif" w:eastAsia="Times New Roman" w:hAnsi="PT Astra Serif"/>
          <w:color w:val="FF0000"/>
          <w:sz w:val="24"/>
          <w:szCs w:val="24"/>
          <w:lang w:eastAsia="ru-RU"/>
        </w:rPr>
      </w:pPr>
      <w:r w:rsidRPr="00552DC8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>3.</w:t>
      </w:r>
      <w:r w:rsidRPr="00552DC8">
        <w:rPr>
          <w:rFonts w:ascii="PT Astra Serif" w:eastAsia="Times New Roman" w:hAnsi="PT Astra Serif"/>
          <w:sz w:val="24"/>
          <w:szCs w:val="24"/>
          <w:lang w:eastAsia="ru-RU"/>
        </w:rPr>
        <w:t xml:space="preserve"> Сроки </w:t>
      </w:r>
      <w:r w:rsidRPr="00552DC8">
        <w:rPr>
          <w:rFonts w:ascii="PT Astra Serif" w:eastAsia="Times New Roman" w:hAnsi="PT Astra Serif"/>
          <w:bCs/>
          <w:sz w:val="24"/>
          <w:szCs w:val="24"/>
          <w:lang w:eastAsia="ru-RU"/>
        </w:rPr>
        <w:t>оказания услуг</w:t>
      </w:r>
      <w:r w:rsidRPr="00552DC8">
        <w:rPr>
          <w:rFonts w:ascii="PT Astra Serif" w:eastAsia="Times New Roman" w:hAnsi="PT Astra Serif"/>
          <w:sz w:val="24"/>
          <w:szCs w:val="24"/>
          <w:lang w:eastAsia="ru-RU"/>
        </w:rPr>
        <w:t>:</w:t>
      </w:r>
      <w:r w:rsidRPr="00552DC8">
        <w:rPr>
          <w:rFonts w:ascii="PT Astra Serif" w:eastAsia="Times New Roman" w:hAnsi="PT Astra Serif"/>
          <w:color w:val="FF0000"/>
          <w:sz w:val="24"/>
          <w:szCs w:val="24"/>
          <w:lang w:eastAsia="ru-RU"/>
        </w:rPr>
        <w:t xml:space="preserve"> </w:t>
      </w:r>
    </w:p>
    <w:p w:rsidR="00552DC8" w:rsidRPr="00552DC8" w:rsidRDefault="00552DC8" w:rsidP="00552DC8">
      <w:pPr>
        <w:ind w:firstLine="0"/>
        <w:rPr>
          <w:rFonts w:ascii="PT Astra Serif" w:hAnsi="PT Astra Serif"/>
          <w:sz w:val="24"/>
          <w:szCs w:val="24"/>
        </w:rPr>
      </w:pPr>
      <w:r w:rsidRPr="00552DC8">
        <w:rPr>
          <w:rFonts w:ascii="PT Astra Serif" w:hAnsi="PT Astra Serif"/>
          <w:sz w:val="24"/>
          <w:szCs w:val="24"/>
        </w:rPr>
        <w:t xml:space="preserve">-  начало: </w:t>
      </w:r>
      <w:proofErr w:type="gramStart"/>
      <w:r w:rsidRPr="00552DC8">
        <w:rPr>
          <w:rFonts w:ascii="PT Astra Serif" w:hAnsi="PT Astra Serif"/>
          <w:sz w:val="24"/>
          <w:szCs w:val="24"/>
        </w:rPr>
        <w:t>с даты заключения</w:t>
      </w:r>
      <w:proofErr w:type="gramEnd"/>
      <w:r w:rsidRPr="00552DC8">
        <w:rPr>
          <w:rFonts w:ascii="PT Astra Serif" w:hAnsi="PT Astra Serif"/>
          <w:sz w:val="24"/>
          <w:szCs w:val="24"/>
        </w:rPr>
        <w:t xml:space="preserve"> муниципального контракта;</w:t>
      </w:r>
    </w:p>
    <w:p w:rsidR="00552DC8" w:rsidRPr="00552DC8" w:rsidRDefault="00552DC8" w:rsidP="00552DC8">
      <w:pPr>
        <w:ind w:firstLine="0"/>
        <w:rPr>
          <w:rFonts w:ascii="PT Astra Serif" w:hAnsi="PT Astra Serif"/>
          <w:sz w:val="24"/>
          <w:szCs w:val="24"/>
        </w:rPr>
      </w:pPr>
      <w:r w:rsidRPr="00552DC8">
        <w:rPr>
          <w:rFonts w:ascii="PT Astra Serif" w:hAnsi="PT Astra Serif"/>
          <w:sz w:val="24"/>
          <w:szCs w:val="24"/>
        </w:rPr>
        <w:t xml:space="preserve">- </w:t>
      </w:r>
      <w:r>
        <w:rPr>
          <w:rFonts w:ascii="PT Astra Serif" w:hAnsi="PT Astra Serif"/>
          <w:sz w:val="24"/>
          <w:szCs w:val="24"/>
        </w:rPr>
        <w:t xml:space="preserve"> </w:t>
      </w:r>
      <w:r w:rsidRPr="00552DC8">
        <w:rPr>
          <w:rFonts w:ascii="PT Astra Serif" w:hAnsi="PT Astra Serif"/>
          <w:sz w:val="24"/>
          <w:szCs w:val="24"/>
        </w:rPr>
        <w:t xml:space="preserve">окончание: 15.11.2027, </w:t>
      </w:r>
      <w:r w:rsidRPr="002E5CB9">
        <w:rPr>
          <w:rFonts w:ascii="PT Astra Serif" w:hAnsi="PT Astra Serif"/>
          <w:b/>
          <w:sz w:val="24"/>
          <w:szCs w:val="24"/>
        </w:rPr>
        <w:t>в том числе по этапам:</w:t>
      </w:r>
    </w:p>
    <w:p w:rsidR="00552DC8" w:rsidRPr="00552DC8" w:rsidRDefault="00552DC8" w:rsidP="00552DC8">
      <w:pPr>
        <w:rPr>
          <w:rFonts w:ascii="PT Astra Serif" w:hAnsi="PT Astra Serif"/>
          <w:sz w:val="24"/>
          <w:szCs w:val="24"/>
        </w:rPr>
      </w:pPr>
      <w:r w:rsidRPr="002E5CB9">
        <w:rPr>
          <w:rFonts w:ascii="PT Astra Serif" w:hAnsi="PT Astra Serif"/>
          <w:b/>
          <w:sz w:val="24"/>
          <w:szCs w:val="24"/>
        </w:rPr>
        <w:t>1 этап</w:t>
      </w:r>
      <w:r w:rsidRPr="00552DC8">
        <w:rPr>
          <w:rFonts w:ascii="PT Astra Serif" w:hAnsi="PT Astra Serif"/>
          <w:sz w:val="24"/>
          <w:szCs w:val="24"/>
        </w:rPr>
        <w:t xml:space="preserve"> – </w:t>
      </w:r>
      <w:proofErr w:type="gramStart"/>
      <w:r w:rsidRPr="00552DC8">
        <w:rPr>
          <w:rFonts w:ascii="PT Astra Serif" w:hAnsi="PT Astra Serif"/>
          <w:sz w:val="24"/>
          <w:szCs w:val="24"/>
        </w:rPr>
        <w:t>с даты заключения</w:t>
      </w:r>
      <w:proofErr w:type="gramEnd"/>
      <w:r w:rsidRPr="00552DC8">
        <w:rPr>
          <w:rFonts w:ascii="PT Astra Serif" w:hAnsi="PT Astra Serif"/>
          <w:sz w:val="24"/>
          <w:szCs w:val="24"/>
        </w:rPr>
        <w:t xml:space="preserve"> муниципального контракта до 01.11.2026;</w:t>
      </w:r>
    </w:p>
    <w:p w:rsidR="00BA798B" w:rsidRPr="00552DC8" w:rsidRDefault="00552DC8" w:rsidP="00552DC8">
      <w:pPr>
        <w:rPr>
          <w:rFonts w:ascii="PT Astra Serif" w:hAnsi="PT Astra Serif"/>
          <w:sz w:val="24"/>
          <w:szCs w:val="24"/>
        </w:rPr>
      </w:pPr>
      <w:bookmarkStart w:id="0" w:name="_GoBack"/>
      <w:r w:rsidRPr="002E5CB9">
        <w:rPr>
          <w:rFonts w:ascii="PT Astra Serif" w:hAnsi="PT Astra Serif"/>
          <w:b/>
          <w:sz w:val="24"/>
          <w:szCs w:val="24"/>
        </w:rPr>
        <w:t>2 этап</w:t>
      </w:r>
      <w:r w:rsidRPr="00552DC8">
        <w:rPr>
          <w:rFonts w:ascii="PT Astra Serif" w:hAnsi="PT Astra Serif"/>
          <w:sz w:val="24"/>
          <w:szCs w:val="24"/>
        </w:rPr>
        <w:t xml:space="preserve"> </w:t>
      </w:r>
      <w:bookmarkEnd w:id="0"/>
      <w:r w:rsidRPr="00552DC8">
        <w:rPr>
          <w:rFonts w:ascii="PT Astra Serif" w:hAnsi="PT Astra Serif"/>
          <w:sz w:val="24"/>
          <w:szCs w:val="24"/>
        </w:rPr>
        <w:t>– с 01.05.2027 до 15.11.2027.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2699"/>
        <w:gridCol w:w="2620"/>
        <w:gridCol w:w="4166"/>
      </w:tblGrid>
      <w:tr w:rsidR="00BA798B" w:rsidTr="00552DC8">
        <w:tc>
          <w:tcPr>
            <w:tcW w:w="540" w:type="pct"/>
            <w:vAlign w:val="center"/>
          </w:tcPr>
          <w:p w:rsidR="00BA798B" w:rsidRDefault="008D5743" w:rsidP="00552DC8">
            <w:pPr>
              <w:ind w:right="-1" w:firstLine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№ раздела</w:t>
            </w:r>
          </w:p>
        </w:tc>
        <w:tc>
          <w:tcPr>
            <w:tcW w:w="1269" w:type="pct"/>
            <w:vAlign w:val="center"/>
          </w:tcPr>
          <w:p w:rsidR="00BA798B" w:rsidRDefault="008D5743" w:rsidP="00552DC8">
            <w:pPr>
              <w:ind w:right="-1" w:hanging="14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3191" w:type="pct"/>
            <w:gridSpan w:val="2"/>
            <w:tcBorders>
              <w:bottom w:val="single" w:sz="4" w:space="0" w:color="auto"/>
            </w:tcBorders>
            <w:vAlign w:val="center"/>
          </w:tcPr>
          <w:p w:rsidR="00BA798B" w:rsidRDefault="008D5743" w:rsidP="00552DC8">
            <w:pPr>
              <w:ind w:right="-1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Содержание раздела</w:t>
            </w:r>
          </w:p>
        </w:tc>
      </w:tr>
      <w:tr w:rsidR="00BA798B">
        <w:trPr>
          <w:trHeight w:val="2445"/>
        </w:trPr>
        <w:tc>
          <w:tcPr>
            <w:tcW w:w="540" w:type="pct"/>
            <w:vMerge w:val="restart"/>
            <w:tcBorders>
              <w:right w:val="single" w:sz="4" w:space="0" w:color="auto"/>
            </w:tcBorders>
          </w:tcPr>
          <w:p w:rsidR="00BA798B" w:rsidRDefault="008D5743" w:rsidP="00B4354B">
            <w:pPr>
              <w:ind w:right="-1" w:firstLine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1269" w:type="pct"/>
            <w:vMerge w:val="restart"/>
            <w:tcBorders>
              <w:right w:val="single" w:sz="4" w:space="0" w:color="auto"/>
            </w:tcBorders>
          </w:tcPr>
          <w:p w:rsidR="00B4354B" w:rsidRDefault="008D5743" w:rsidP="00B4354B">
            <w:pPr>
              <w:ind w:right="-1" w:firstLine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Общие</w:t>
            </w:r>
          </w:p>
          <w:p w:rsidR="00BA798B" w:rsidRDefault="008D5743" w:rsidP="00B4354B">
            <w:pPr>
              <w:ind w:right="-1" w:firstLine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положения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B" w:rsidRDefault="008D5743">
            <w:pPr>
              <w:ind w:right="-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Цель:</w:t>
            </w:r>
          </w:p>
          <w:p w:rsidR="00BA798B" w:rsidRDefault="00BA798B" w:rsidP="007E0BB2">
            <w:pPr>
              <w:ind w:right="-1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B" w:rsidRDefault="008D5743">
            <w:pPr>
              <w:ind w:right="4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Недопущение приемки дорожно-строительных работ, выполненных с нарушениями требований проектной документации, утвержденной в установленном порядке и требований технического регламента «Безопасность автомобильных дорог»</w:t>
            </w:r>
          </w:p>
        </w:tc>
      </w:tr>
      <w:tr w:rsidR="00BA798B">
        <w:trPr>
          <w:trHeight w:val="1404"/>
        </w:trPr>
        <w:tc>
          <w:tcPr>
            <w:tcW w:w="540" w:type="pct"/>
            <w:vMerge/>
            <w:tcBorders>
              <w:right w:val="single" w:sz="4" w:space="0" w:color="auto"/>
            </w:tcBorders>
          </w:tcPr>
          <w:p w:rsidR="00BA798B" w:rsidRDefault="00BA798B" w:rsidP="00B4354B">
            <w:pPr>
              <w:ind w:right="-1" w:firstLine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69" w:type="pct"/>
            <w:vMerge/>
            <w:tcBorders>
              <w:right w:val="single" w:sz="4" w:space="0" w:color="auto"/>
            </w:tcBorders>
          </w:tcPr>
          <w:p w:rsidR="00BA798B" w:rsidRDefault="00BA798B">
            <w:pPr>
              <w:ind w:right="-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B" w:rsidRDefault="008D5743">
            <w:pPr>
              <w:ind w:right="-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Исходные данные необходимые для проведения лабораторных мероприятий: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18" w:rsidRPr="00B830F8" w:rsidRDefault="004D5618" w:rsidP="004D5618">
            <w:pPr>
              <w:suppressAutoHyphens/>
              <w:ind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8645D4">
              <w:rPr>
                <w:rFonts w:ascii="PT Astra Serif" w:hAnsi="PT Astra Serif"/>
                <w:sz w:val="24"/>
                <w:szCs w:val="24"/>
              </w:rPr>
              <w:t>Заказчик</w:t>
            </w:r>
            <w:r>
              <w:rPr>
                <w:rFonts w:ascii="PT Astra Serif" w:hAnsi="PT Astra Serif"/>
                <w:sz w:val="24"/>
                <w:szCs w:val="24"/>
              </w:rPr>
              <w:t>ом</w:t>
            </w:r>
            <w:r w:rsidRPr="008645D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Pr="00B830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 начала оказания услуг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предоставляется г</w:t>
            </w:r>
            <w:r w:rsidRPr="00B830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рафик производства </w:t>
            </w:r>
            <w:r w:rsidRPr="00B830F8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 xml:space="preserve">строительно-монтажных </w:t>
            </w:r>
            <w:r w:rsidRPr="00B830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работ н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 объекте, проектная документация по объекту</w:t>
            </w:r>
            <w:r w:rsidRPr="00B830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.</w:t>
            </w:r>
          </w:p>
          <w:p w:rsidR="00BA798B" w:rsidRDefault="00BA798B">
            <w:pPr>
              <w:ind w:right="-1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A798B">
        <w:trPr>
          <w:trHeight w:val="946"/>
        </w:trPr>
        <w:tc>
          <w:tcPr>
            <w:tcW w:w="540" w:type="pct"/>
          </w:tcPr>
          <w:p w:rsidR="00BA798B" w:rsidRDefault="008D5743" w:rsidP="00B4354B">
            <w:pPr>
              <w:ind w:right="-1" w:firstLine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1269" w:type="pct"/>
          </w:tcPr>
          <w:p w:rsidR="00BA798B" w:rsidRDefault="008D5743" w:rsidP="00B4354B">
            <w:pPr>
              <w:ind w:right="-1" w:hanging="14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Виды услуг, подлежащие контролю </w:t>
            </w:r>
          </w:p>
        </w:tc>
        <w:tc>
          <w:tcPr>
            <w:tcW w:w="3191" w:type="pct"/>
            <w:gridSpan w:val="2"/>
            <w:tcBorders>
              <w:top w:val="single" w:sz="4" w:space="0" w:color="auto"/>
            </w:tcBorders>
          </w:tcPr>
          <w:p w:rsidR="00BA798B" w:rsidRDefault="008D5743">
            <w:pPr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  <w:t>Испытание грунтов, песка:</w:t>
            </w:r>
          </w:p>
          <w:p w:rsidR="00BA798B" w:rsidRPr="007E0BB2" w:rsidRDefault="008D5743">
            <w:pPr>
              <w:numPr>
                <w:ilvl w:val="0"/>
                <w:numId w:val="21"/>
              </w:numP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Определение зернового и </w:t>
            </w:r>
            <w:proofErr w:type="spellStart"/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микроагрегатного</w:t>
            </w:r>
            <w:proofErr w:type="spellEnd"/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состава грунта</w:t>
            </w:r>
          </w:p>
          <w:p w:rsidR="00BA798B" w:rsidRPr="007E0BB2" w:rsidRDefault="008D5743">
            <w:pPr>
              <w:numPr>
                <w:ilvl w:val="0"/>
                <w:numId w:val="21"/>
              </w:numP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Определение физико-механических свой</w:t>
            </w:r>
            <w:proofErr w:type="gramStart"/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ств гр</w:t>
            </w:r>
            <w:proofErr w:type="gramEnd"/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унта</w:t>
            </w:r>
          </w:p>
          <w:p w:rsidR="00BA798B" w:rsidRPr="007E0BB2" w:rsidRDefault="008D5743">
            <w:pPr>
              <w:numPr>
                <w:ilvl w:val="0"/>
                <w:numId w:val="21"/>
              </w:numP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Контроль плотности грунта в слоях насыпи</w:t>
            </w:r>
          </w:p>
          <w:p w:rsidR="00BA798B" w:rsidRDefault="008D5743">
            <w:pPr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  <w:t>Испытание щебня:</w:t>
            </w:r>
          </w:p>
          <w:p w:rsidR="00BA798B" w:rsidRDefault="008D5743">
            <w:pPr>
              <w:numPr>
                <w:ilvl w:val="0"/>
                <w:numId w:val="22"/>
              </w:numP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Определение зернового состава</w:t>
            </w:r>
          </w:p>
          <w:p w:rsidR="00BA798B" w:rsidRDefault="008D5743">
            <w:pPr>
              <w:numPr>
                <w:ilvl w:val="0"/>
                <w:numId w:val="22"/>
              </w:numP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Определение 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дробимости</w:t>
            </w:r>
            <w:proofErr w:type="spellEnd"/>
          </w:p>
          <w:p w:rsidR="00BA798B" w:rsidRPr="007E0BB2" w:rsidRDefault="008D5743">
            <w:pPr>
              <w:numPr>
                <w:ilvl w:val="0"/>
                <w:numId w:val="22"/>
              </w:numP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Определение насыпной плотности</w:t>
            </w:r>
          </w:p>
          <w:p w:rsidR="00BA798B" w:rsidRDefault="008D5743">
            <w:pPr>
              <w:numPr>
                <w:ilvl w:val="0"/>
                <w:numId w:val="22"/>
              </w:numP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Контроль качества уплотнения</w:t>
            </w:r>
          </w:p>
          <w:p w:rsidR="00BA798B" w:rsidRDefault="008D5743">
            <w:pPr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  <w:t>Испытание асфальтобетона:</w:t>
            </w:r>
          </w:p>
          <w:p w:rsidR="00BA798B" w:rsidRDefault="008D5743">
            <w:pPr>
              <w:numPr>
                <w:ilvl w:val="0"/>
                <w:numId w:val="23"/>
              </w:numP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Проверка состава асфальтобетонной смеси</w:t>
            </w:r>
          </w:p>
          <w:p w:rsidR="00BA798B" w:rsidRDefault="008D5743">
            <w:pPr>
              <w:numPr>
                <w:ilvl w:val="0"/>
                <w:numId w:val="23"/>
              </w:numPr>
              <w:jc w:val="lef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Отбор и испытание битума для приготовления асфальтобетонной смеси</w:t>
            </w:r>
          </w:p>
          <w:p w:rsidR="00BA798B" w:rsidRDefault="008D5743">
            <w:pPr>
              <w:numPr>
                <w:ilvl w:val="0"/>
                <w:numId w:val="23"/>
              </w:numPr>
              <w:jc w:val="lef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Отбор и испытание щебня для приготовления асфальтобетонной смеси</w:t>
            </w:r>
          </w:p>
          <w:p w:rsidR="00BA798B" w:rsidRDefault="008D5743">
            <w:pPr>
              <w:numPr>
                <w:ilvl w:val="0"/>
                <w:numId w:val="23"/>
              </w:numPr>
              <w:jc w:val="lef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Отбор и испытание песка дробления для приготовления асфальтобетонной смеси</w:t>
            </w:r>
          </w:p>
          <w:p w:rsidR="00BA798B" w:rsidRDefault="008D5743">
            <w:pPr>
              <w:numPr>
                <w:ilvl w:val="0"/>
                <w:numId w:val="23"/>
              </w:numPr>
              <w:jc w:val="lef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Отбор и испытание минерального порошка для приготовления асфальтобетонной смеси</w:t>
            </w:r>
          </w:p>
          <w:p w:rsidR="00BA798B" w:rsidRDefault="008D5743">
            <w:pPr>
              <w:numPr>
                <w:ilvl w:val="0"/>
                <w:numId w:val="23"/>
              </w:numPr>
              <w:jc w:val="lef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Отбор и испытание битумной эмульсии</w:t>
            </w:r>
          </w:p>
          <w:p w:rsidR="00BA798B" w:rsidRPr="007E0BB2" w:rsidRDefault="008D5743">
            <w:pPr>
              <w:numPr>
                <w:ilvl w:val="0"/>
                <w:numId w:val="23"/>
              </w:numPr>
              <w:jc w:val="lef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Отбор и испытание асфальтобетона из горячих смесей</w:t>
            </w:r>
          </w:p>
          <w:p w:rsidR="00BA798B" w:rsidRPr="007E0BB2" w:rsidRDefault="008D5743">
            <w:pPr>
              <w:numPr>
                <w:ilvl w:val="0"/>
                <w:numId w:val="23"/>
              </w:numPr>
              <w:jc w:val="lef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 xml:space="preserve">Проверка толщины верхнего и нижнего слоя </w:t>
            </w:r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асфальтобетонного покрытия </w:t>
            </w:r>
          </w:p>
          <w:p w:rsidR="00BA798B" w:rsidRPr="007E0BB2" w:rsidRDefault="008D5743">
            <w:pPr>
              <w:numPr>
                <w:ilvl w:val="0"/>
                <w:numId w:val="23"/>
              </w:numPr>
              <w:jc w:val="lef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Проверка содержания воздушных пустот верхнего и нижнего слоя асфальтобетонного покрытия</w:t>
            </w:r>
          </w:p>
          <w:p w:rsidR="00BA798B" w:rsidRPr="007E0BB2" w:rsidRDefault="008D5743">
            <w:pPr>
              <w:numPr>
                <w:ilvl w:val="0"/>
                <w:numId w:val="23"/>
              </w:numPr>
              <w:jc w:val="lef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Проверка сцепления верхнего и нижнего слоев асфальтобетонного покрытия</w:t>
            </w:r>
          </w:p>
          <w:p w:rsidR="00BA798B" w:rsidRPr="007E0BB2" w:rsidRDefault="008D5743">
            <w:pPr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</w:pPr>
            <w:r w:rsidRPr="007E0BB2"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  <w:t>Испытание бетонных материалов:</w:t>
            </w:r>
          </w:p>
          <w:p w:rsidR="00BA798B" w:rsidRPr="007E0BB2" w:rsidRDefault="008D5743">
            <w:pPr>
              <w:numPr>
                <w:ilvl w:val="0"/>
                <w:numId w:val="24"/>
              </w:numPr>
              <w:jc w:val="lef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Отбор и определение прочности бетона</w:t>
            </w:r>
          </w:p>
          <w:p w:rsidR="00BA798B" w:rsidRPr="007E0BB2" w:rsidRDefault="008D5743">
            <w:pPr>
              <w:numPr>
                <w:ilvl w:val="0"/>
                <w:numId w:val="24"/>
              </w:numPr>
              <w:jc w:val="lef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Определение фактической прочности бетонных материалов (бордюры, лотки)</w:t>
            </w:r>
          </w:p>
          <w:p w:rsidR="00BA798B" w:rsidRPr="007E0BB2" w:rsidRDefault="008D5743">
            <w:pPr>
              <w:numPr>
                <w:ilvl w:val="0"/>
                <w:numId w:val="24"/>
              </w:numPr>
              <w:jc w:val="lef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Построение </w:t>
            </w:r>
            <w:proofErr w:type="spellStart"/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градуировочной</w:t>
            </w:r>
            <w:proofErr w:type="spellEnd"/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зависимости при контроле прочности бетона неразрушающими методами</w:t>
            </w:r>
          </w:p>
          <w:p w:rsidR="00BA798B" w:rsidRDefault="008D5743">
            <w:pPr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  <w:t>Освещенность:</w:t>
            </w:r>
          </w:p>
          <w:p w:rsidR="00BA798B" w:rsidRDefault="008D5743">
            <w:pPr>
              <w:numPr>
                <w:ilvl w:val="0"/>
                <w:numId w:val="25"/>
              </w:numPr>
              <w:jc w:val="lef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Определение фактической освещенности автомобильной дороги и тротуаров</w:t>
            </w:r>
          </w:p>
        </w:tc>
      </w:tr>
      <w:tr w:rsidR="00BA798B">
        <w:trPr>
          <w:trHeight w:val="946"/>
        </w:trPr>
        <w:tc>
          <w:tcPr>
            <w:tcW w:w="540" w:type="pct"/>
          </w:tcPr>
          <w:p w:rsidR="00BA798B" w:rsidRDefault="008D5743" w:rsidP="00B4354B">
            <w:pPr>
              <w:ind w:right="-1" w:firstLine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269" w:type="pct"/>
          </w:tcPr>
          <w:p w:rsidR="00BA798B" w:rsidRDefault="008D5743" w:rsidP="00B4354B">
            <w:pPr>
              <w:ind w:right="-1" w:hanging="14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Требования к </w:t>
            </w:r>
            <w:r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  <w:t>оказанию услуг</w:t>
            </w:r>
          </w:p>
        </w:tc>
        <w:tc>
          <w:tcPr>
            <w:tcW w:w="3191" w:type="pct"/>
            <w:gridSpan w:val="2"/>
          </w:tcPr>
          <w:p w:rsidR="00BA798B" w:rsidRDefault="008D5743">
            <w:pPr>
              <w:ind w:right="-1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В течение 3 (трех) рабочих дней с момента заключения муниципального контракта Стороны в письменной форме согласовывают адреса электронной почты, с использованием которых осуществляется переписка в рамках исполнения Муниципального контракта. Любые изменения согласованных электронных адресов производятся не позднее 1 (одного) рабочего дня с момента таких изменений в письменной форме.</w:t>
            </w:r>
          </w:p>
          <w:p w:rsidR="00BA798B" w:rsidRDefault="008D5743">
            <w:pPr>
              <w:ind w:right="-1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Заказчик имеет право в любой момент времени, направить Исполнителю Задание по электронной почте.</w:t>
            </w:r>
          </w:p>
          <w:p w:rsidR="00BA798B" w:rsidRDefault="008D5743">
            <w:pPr>
              <w:ind w:right="-1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Исполнитель обеспечивает получение писем, направляемых по согласованным адресам электронной почты, ежедневно с 9.00 по 18.00.</w:t>
            </w:r>
          </w:p>
          <w:p w:rsidR="00BA798B" w:rsidRDefault="008D5743">
            <w:pPr>
              <w:ind w:right="-1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Уполномоченное лицо Исполнителя не позднее следующего рабочего дня за датой получения им Задания по электронной почте прибывает на место, указанное в Задании, осуществляет отбор пробы материалов.</w:t>
            </w:r>
          </w:p>
          <w:p w:rsidR="00BA798B" w:rsidRDefault="008D5743">
            <w:pPr>
              <w:ind w:right="-1"/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В течение 3 (трех) рабочих дней, после даты отбора проб на объекте, Исполнитель выполняет испытания проб материалов и в течени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1 (одного) рабочего дня с даты завершения испытаний направляет протокола по согласованной электронной почте Муниципальному заказчику. </w:t>
            </w:r>
          </w:p>
        </w:tc>
      </w:tr>
      <w:tr w:rsidR="00BA798B">
        <w:trPr>
          <w:trHeight w:val="946"/>
        </w:trPr>
        <w:tc>
          <w:tcPr>
            <w:tcW w:w="540" w:type="pct"/>
          </w:tcPr>
          <w:p w:rsidR="00BA798B" w:rsidRDefault="008D5743" w:rsidP="00B4354B">
            <w:pPr>
              <w:ind w:right="-1" w:firstLine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</w:t>
            </w:r>
          </w:p>
        </w:tc>
        <w:tc>
          <w:tcPr>
            <w:tcW w:w="1269" w:type="pct"/>
          </w:tcPr>
          <w:p w:rsidR="00BA798B" w:rsidRDefault="008D5743" w:rsidP="00B4354B">
            <w:pPr>
              <w:ind w:right="-1" w:hanging="14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Информационное сопровождение объекта</w:t>
            </w:r>
          </w:p>
        </w:tc>
        <w:tc>
          <w:tcPr>
            <w:tcW w:w="3191" w:type="pct"/>
            <w:gridSpan w:val="2"/>
          </w:tcPr>
          <w:p w:rsidR="00BA798B" w:rsidRDefault="008D5743">
            <w:pPr>
              <w:ind w:right="-1"/>
              <w:contextualSpacing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Исполнитель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обязан осуществлять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фотофиксацию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работ по каждому объекту и, по запросу Заказчика, предоставлять фотоматериал процесса отбора проб с возможностью привязки на местности, а также процесса измерения толщины слоев покрытия в адрес Заказчика.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Материалы должны быть наглядными, обзорными. </w:t>
            </w:r>
          </w:p>
          <w:p w:rsidR="00BA798B" w:rsidRDefault="00BA798B">
            <w:pPr>
              <w:tabs>
                <w:tab w:val="left" w:pos="1134"/>
              </w:tabs>
              <w:ind w:right="-1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A798B">
        <w:trPr>
          <w:trHeight w:val="946"/>
        </w:trPr>
        <w:tc>
          <w:tcPr>
            <w:tcW w:w="540" w:type="pct"/>
          </w:tcPr>
          <w:p w:rsidR="00BA798B" w:rsidRDefault="008D5743" w:rsidP="00B4354B">
            <w:pPr>
              <w:ind w:right="-1" w:firstLine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</w:t>
            </w:r>
          </w:p>
        </w:tc>
        <w:tc>
          <w:tcPr>
            <w:tcW w:w="1269" w:type="pct"/>
          </w:tcPr>
          <w:p w:rsidR="00BA798B" w:rsidRDefault="008D5743" w:rsidP="00B4354B">
            <w:pPr>
              <w:ind w:right="-1" w:firstLine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Основные технические требования</w:t>
            </w:r>
          </w:p>
        </w:tc>
        <w:tc>
          <w:tcPr>
            <w:tcW w:w="3191" w:type="pct"/>
            <w:gridSpan w:val="2"/>
          </w:tcPr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Исполнитель обязан руководствоваться следующими основными техническими требованиями: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- Для анализа проб должны использоваться аттестованные методики в соответствии с ГОСТ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8.563-2009;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Испытания должны проводиться по месту нахождения Исполнителя на поверенном (калиброванном), прошедшем аттестацию в установленном порядке оборудовании;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Записи о первичных наблюдениях и результаты испытаний должны вноситься в прошитые, пронумерованные и скрепленные печатью журналы, соответствующие каждому проводимому испытанию;</w:t>
            </w:r>
          </w:p>
          <w:p w:rsidR="00834BFD" w:rsidRDefault="00834BFD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- Должна предоставляться документация, подтверждающая метрологическое обеспечение средств измерений и испытательного оборудования;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Лаборатория должна нести ответственность за выполнение установленных требований к сертификации персонала;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Лаборатория должна обеспечить отсутствие влияния условий окружающей среды на результаты или качество измерений;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Персонал, ответственный за содержание протоколов испытаний, помимо соответствующей квалификации, подготовки, опыта и удовлетворительных знаний по проводимым испытаниям, должен также обладать:</w:t>
            </w:r>
          </w:p>
          <w:p w:rsidR="00BA798B" w:rsidRDefault="008D5743" w:rsidP="008A5DF3">
            <w:pPr>
              <w:shd w:val="clear" w:color="auto" w:fill="FFFFFF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 необходимым знанием технологии производства объектов испытаний, материалов, продукции или их применения, а также дефектов или возможных ухудшений качества при использовании или обслуживании;</w:t>
            </w:r>
          </w:p>
          <w:p w:rsidR="00BA798B" w:rsidRDefault="008D5743" w:rsidP="008A5DF3">
            <w:pPr>
              <w:shd w:val="clear" w:color="auto" w:fill="FFFFFF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 знанием основных требований, содержащихся в законодательстве и стандартах;</w:t>
            </w:r>
          </w:p>
          <w:p w:rsidR="00BA798B" w:rsidRDefault="008D5743" w:rsidP="008A5DF3">
            <w:pPr>
              <w:widowControl w:val="0"/>
              <w:shd w:val="clear" w:color="auto" w:fill="FFFFFF"/>
              <w:tabs>
                <w:tab w:val="left" w:pos="993"/>
              </w:tabs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 пониманием значимости обнаруженных отклонений по сравнению с нормальным использованием соответствующих изделий, материалов, продукции и др.</w:t>
            </w:r>
          </w:p>
          <w:p w:rsidR="00BA798B" w:rsidRDefault="008D5743" w:rsidP="008A5DF3">
            <w:pPr>
              <w:widowControl w:val="0"/>
              <w:shd w:val="clear" w:color="auto" w:fill="FFFFFF"/>
              <w:tabs>
                <w:tab w:val="left" w:pos="993"/>
              </w:tabs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Испытательная лаборатория должна быть компетентной для проведения соответствующих испытаний, иметь оборудование, а также расходные материалы, необходимые для проведения испытаний, и средства измерений всех параметров. Иметь аттестат аккредитации испытательной лаборатории и соответствовать требованиям к компетентности предъявляемые ГОСТ ISO/IEC 17025-2019.</w:t>
            </w:r>
          </w:p>
          <w:p w:rsidR="00BA798B" w:rsidRDefault="008D5743" w:rsidP="008A5DF3">
            <w:pPr>
              <w:widowControl w:val="0"/>
              <w:shd w:val="clear" w:color="auto" w:fill="FFFFFF"/>
              <w:tabs>
                <w:tab w:val="left" w:pos="993"/>
              </w:tabs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Испытательное оборудование, средства и методики измерений должны отвечать требованиям стандартов государственной системы обеспечения единства измерений, нормативных документов на методы испытаний. Испытательное оборудование должно быть аттестовано, а средства измерений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поверены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в установленном порядке.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Протокол испытания должен содержать: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-Индивидуальный порядковый номер согласно регистрации Исполнителя;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Номер и дата свидетельства об оценки средств измерений;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Номер и дата протокола испытания;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Объект испытания (вид, тип, марка и т.д.);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Наименование производителя (поставщика) продукции;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Объект реконструкции;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Назначение материала;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Адрес отбора пробы;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Акт отбора пробы (№ и дата);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Дату получения пробы;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Дату испытания пробы;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Условия проведения испытаний;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Методы испытаний;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Средства измерений и испытательное оборудование;</w:t>
            </w:r>
          </w:p>
          <w:p w:rsidR="00834BFD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- Таблицу с показателями результатов испытаний (наименование показателя, единица измерения, требования </w:t>
            </w:r>
            <w:proofErr w:type="gramEnd"/>
          </w:p>
          <w:p w:rsidR="00834BFD" w:rsidRDefault="00834BFD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нормативно-технической документации, результаты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испытаний);</w:t>
            </w:r>
            <w:proofErr w:type="gramEnd"/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Заключение на основании результатов испытаний (о соответствии или несоответствии качества испытываемой пробы нормативно-технической документации);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- Подписи специалиста проводящего испытания, 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Печать Исполнителя.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Формат протокола испытаний должен соответствовать каждому виду проводимых испытаний и минимизировать возможность их неверного понимания или неправильного использования.</w:t>
            </w:r>
          </w:p>
        </w:tc>
      </w:tr>
      <w:tr w:rsidR="00BA798B">
        <w:trPr>
          <w:trHeight w:val="1056"/>
        </w:trPr>
        <w:tc>
          <w:tcPr>
            <w:tcW w:w="540" w:type="pct"/>
          </w:tcPr>
          <w:p w:rsidR="00BA798B" w:rsidRDefault="008D5743" w:rsidP="00B4354B">
            <w:pPr>
              <w:ind w:right="-1" w:firstLine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269" w:type="pct"/>
          </w:tcPr>
          <w:p w:rsidR="00BA798B" w:rsidRDefault="008D5743" w:rsidP="00B4354B">
            <w:pPr>
              <w:ind w:right="-1" w:firstLine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Результаты оказанных услуг</w:t>
            </w:r>
          </w:p>
        </w:tc>
        <w:tc>
          <w:tcPr>
            <w:tcW w:w="3191" w:type="pct"/>
            <w:gridSpan w:val="2"/>
          </w:tcPr>
          <w:p w:rsidR="00BA798B" w:rsidRDefault="008D5743">
            <w:pPr>
              <w:widowControl w:val="0"/>
              <w:ind w:right="-1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Результатом </w:t>
            </w:r>
            <w:r>
              <w:rPr>
                <w:rFonts w:ascii="PT Astra Serif" w:hAnsi="PT Astra Serif"/>
                <w:sz w:val="24"/>
                <w:szCs w:val="24"/>
              </w:rPr>
              <w:t>оказанных услуг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является протокол испытаний с заключение о соответствии или несоответствии применяемых на объекте материалов требованиям</w:t>
            </w:r>
            <w:r>
              <w:rPr>
                <w:rFonts w:ascii="PT Astra Serif" w:eastAsia="Times New Roman" w:hAnsi="PT Astra Serif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/>
                <w:bCs/>
                <w:sz w:val="24"/>
                <w:szCs w:val="24"/>
              </w:rPr>
              <w:t>на проектно-сметной документации и действующих нормативно-правовых актов.</w:t>
            </w:r>
          </w:p>
          <w:p w:rsidR="00BA798B" w:rsidRDefault="008D5743">
            <w:pPr>
              <w:ind w:right="-1"/>
              <w:rPr>
                <w:rFonts w:ascii="PT Astra Serif" w:hAnsi="PT Astra Serif"/>
                <w:color w:val="FF0000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В 3 (трех) экземплярах на бумажном носителе, оформленных на бланке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Исполнителя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, заверенных подписью специалиста, проводящего испытания и скрепленных печатью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Исполнителя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A798B">
        <w:trPr>
          <w:trHeight w:val="416"/>
        </w:trPr>
        <w:tc>
          <w:tcPr>
            <w:tcW w:w="540" w:type="pct"/>
            <w:tcBorders>
              <w:bottom w:val="single" w:sz="4" w:space="0" w:color="auto"/>
            </w:tcBorders>
          </w:tcPr>
          <w:p w:rsidR="00BA798B" w:rsidRDefault="008D5743" w:rsidP="00B4354B">
            <w:pPr>
              <w:ind w:right="-1" w:firstLine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</w:t>
            </w:r>
          </w:p>
        </w:tc>
        <w:tc>
          <w:tcPr>
            <w:tcW w:w="1269" w:type="pct"/>
            <w:tcBorders>
              <w:bottom w:val="single" w:sz="4" w:space="0" w:color="auto"/>
            </w:tcBorders>
          </w:tcPr>
          <w:p w:rsidR="00BA798B" w:rsidRDefault="008D5743" w:rsidP="00B4354B">
            <w:pPr>
              <w:ind w:right="-1" w:firstLine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Нормативно-технические документы</w:t>
            </w:r>
          </w:p>
        </w:tc>
        <w:tc>
          <w:tcPr>
            <w:tcW w:w="3191" w:type="pct"/>
            <w:gridSpan w:val="2"/>
            <w:tcBorders>
              <w:bottom w:val="single" w:sz="4" w:space="0" w:color="auto"/>
            </w:tcBorders>
          </w:tcPr>
          <w:p w:rsidR="00BA798B" w:rsidRDefault="008D5743">
            <w:pPr>
              <w:tabs>
                <w:tab w:val="num" w:pos="0"/>
                <w:tab w:val="left" w:pos="426"/>
              </w:tabs>
              <w:ind w:right="-1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При оказании услуг по определению качества дорожно-строительных работ и определения физико-механических свойств дорожно-строительных материалов необходимо руководствоваться требованиями национальных стандартов Российской Федерации и действующими нормативно-техническими документами.</w:t>
            </w:r>
          </w:p>
        </w:tc>
      </w:tr>
      <w:tr w:rsidR="00BA798B">
        <w:trPr>
          <w:trHeight w:val="1374"/>
        </w:trPr>
        <w:tc>
          <w:tcPr>
            <w:tcW w:w="540" w:type="pct"/>
            <w:tcBorders>
              <w:bottom w:val="single" w:sz="4" w:space="0" w:color="auto"/>
            </w:tcBorders>
          </w:tcPr>
          <w:p w:rsidR="00BA798B" w:rsidRDefault="008D5743" w:rsidP="00B4354B">
            <w:pPr>
              <w:ind w:right="-1" w:firstLine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8</w:t>
            </w:r>
          </w:p>
        </w:tc>
        <w:tc>
          <w:tcPr>
            <w:tcW w:w="1269" w:type="pct"/>
            <w:tcBorders>
              <w:bottom w:val="single" w:sz="4" w:space="0" w:color="auto"/>
              <w:right w:val="single" w:sz="4" w:space="0" w:color="auto"/>
            </w:tcBorders>
          </w:tcPr>
          <w:p w:rsidR="00BA798B" w:rsidRDefault="008D5743" w:rsidP="00B4354B">
            <w:pPr>
              <w:ind w:right="-1" w:firstLine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Состав и содержание услуг</w:t>
            </w:r>
          </w:p>
        </w:tc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B" w:rsidRDefault="008D5743">
            <w:pPr>
              <w:ind w:right="-1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- проезд специалистов к месту отбора проб; </w:t>
            </w:r>
          </w:p>
          <w:p w:rsidR="00BA798B" w:rsidRDefault="008D5743">
            <w:pPr>
              <w:ind w:right="-1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отбор проб на объекте;</w:t>
            </w:r>
          </w:p>
          <w:p w:rsidR="00BA798B" w:rsidRDefault="008D5743">
            <w:pPr>
              <w:ind w:right="-1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- испытание проб; </w:t>
            </w:r>
          </w:p>
          <w:p w:rsidR="00BA798B" w:rsidRDefault="008D5743">
            <w:pPr>
              <w:ind w:right="-1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оформление протоколов лабораторных испытаний;</w:t>
            </w:r>
          </w:p>
          <w:p w:rsidR="00BA798B" w:rsidRDefault="008D5743">
            <w:pPr>
              <w:ind w:right="-1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доставка Заказчику результата (протоколов испытаний).</w:t>
            </w:r>
          </w:p>
        </w:tc>
      </w:tr>
      <w:tr w:rsidR="00BA798B">
        <w:trPr>
          <w:trHeight w:val="1381"/>
        </w:trPr>
        <w:tc>
          <w:tcPr>
            <w:tcW w:w="540" w:type="pct"/>
            <w:tcBorders>
              <w:top w:val="single" w:sz="4" w:space="0" w:color="auto"/>
            </w:tcBorders>
          </w:tcPr>
          <w:p w:rsidR="00BA798B" w:rsidRDefault="008D5743" w:rsidP="00B4354B">
            <w:pPr>
              <w:ind w:right="-1" w:firstLine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B" w:rsidRDefault="008D5743" w:rsidP="00B4354B">
            <w:pPr>
              <w:ind w:right="-1" w:firstLine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Порядок передачи результатов услуг</w:t>
            </w:r>
          </w:p>
        </w:tc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B" w:rsidRDefault="008D5743">
            <w:pPr>
              <w:ind w:right="-1" w:firstLine="600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 xml:space="preserve">Исполнитель за свой счет осуществляет доставку Заказчику результата в течение 3 (трех) рабочих дней </w:t>
            </w:r>
            <w:proofErr w:type="gramStart"/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с даты завершения</w:t>
            </w:r>
            <w:proofErr w:type="gramEnd"/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 xml:space="preserve"> испытаний образцов</w:t>
            </w:r>
            <w:r w:rsidR="00CE0B2D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 xml:space="preserve"> на бумажном носителе</w:t>
            </w:r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.</w:t>
            </w:r>
          </w:p>
          <w:p w:rsidR="00BA798B" w:rsidRDefault="008D5743">
            <w:pPr>
              <w:ind w:right="-1" w:firstLine="60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После завершения испытаний образцов и предоставления в адрес Заказчика всех результатов лабораторных испытаний предоставить в адрес Заказчика:</w:t>
            </w:r>
          </w:p>
          <w:p w:rsidR="00BA798B" w:rsidRDefault="008D5743">
            <w:pPr>
              <w:ind w:right="-1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Отчет, содержащий акты отбора образцов, протокола испытаний образцов с заключением о соответствии или несоответствии материалов, а также сводную ведомость, содержащую порядковый номер,  количество мест обора. Указанный отчет предоставить Заказчику на бумажном носителе в 2 (двух) экземплярах, заверенный подписью руководителя Исполнителя и печатью Исполнителя.</w:t>
            </w:r>
          </w:p>
        </w:tc>
      </w:tr>
    </w:tbl>
    <w:p w:rsidR="00BA798B" w:rsidRDefault="008D5743">
      <w:pPr>
        <w:widowControl w:val="0"/>
        <w:ind w:right="-1"/>
        <w:rPr>
          <w:rFonts w:ascii="PT Astra Serif" w:eastAsia="Times New Roman" w:hAnsi="PT Astra Serif"/>
          <w:b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Примечание</w:t>
      </w:r>
      <w:r>
        <w:rPr>
          <w:rFonts w:ascii="PT Astra Serif" w:hAnsi="PT Astra Serif"/>
          <w:bCs/>
          <w:sz w:val="24"/>
          <w:szCs w:val="24"/>
        </w:rPr>
        <w:t xml:space="preserve">: В случае внесения изменений (в </w:t>
      </w:r>
      <w:proofErr w:type="spellStart"/>
      <w:r>
        <w:rPr>
          <w:rFonts w:ascii="PT Astra Serif" w:hAnsi="PT Astra Serif"/>
          <w:bCs/>
          <w:sz w:val="24"/>
          <w:szCs w:val="24"/>
        </w:rPr>
        <w:t>т.ч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утраты силы) в нормативные документы, в </w:t>
      </w:r>
      <w:proofErr w:type="spellStart"/>
      <w:r>
        <w:rPr>
          <w:rFonts w:ascii="PT Astra Serif" w:hAnsi="PT Astra Serif"/>
          <w:bCs/>
          <w:sz w:val="24"/>
          <w:szCs w:val="24"/>
        </w:rPr>
        <w:t>т.ч</w:t>
      </w:r>
      <w:proofErr w:type="spellEnd"/>
      <w:r>
        <w:rPr>
          <w:rFonts w:ascii="PT Astra Serif" w:hAnsi="PT Astra Serif"/>
          <w:bCs/>
          <w:sz w:val="24"/>
          <w:szCs w:val="24"/>
        </w:rPr>
        <w:t>. нормативные документы, неучтенные в вышеуказанном перечне, руководствоваться действующими редакциями документов по мере вступления их в законную силу.</w:t>
      </w:r>
    </w:p>
    <w:p w:rsidR="00BA798B" w:rsidRDefault="00BA798B">
      <w:pPr>
        <w:jc w:val="center"/>
        <w:rPr>
          <w:rFonts w:ascii="PT Astra Serif" w:eastAsia="Times New Roman" w:hAnsi="PT Astra Serif"/>
          <w:b/>
          <w:sz w:val="24"/>
          <w:szCs w:val="24"/>
        </w:rPr>
      </w:pPr>
    </w:p>
    <w:p w:rsidR="00BA798B" w:rsidRDefault="00BA798B">
      <w:pPr>
        <w:jc w:val="center"/>
        <w:rPr>
          <w:rFonts w:ascii="PT Astra Serif" w:eastAsia="Times New Roman" w:hAnsi="PT Astra Serif"/>
          <w:b/>
          <w:sz w:val="24"/>
          <w:szCs w:val="24"/>
        </w:rPr>
      </w:pPr>
    </w:p>
    <w:p w:rsidR="00BA798B" w:rsidRDefault="00BA798B">
      <w:pPr>
        <w:jc w:val="center"/>
        <w:rPr>
          <w:rFonts w:ascii="PT Astra Serif" w:eastAsia="Times New Roman" w:hAnsi="PT Astra Serif"/>
          <w:b/>
          <w:sz w:val="24"/>
          <w:szCs w:val="24"/>
        </w:rPr>
      </w:pPr>
    </w:p>
    <w:p w:rsidR="00BA798B" w:rsidRDefault="00BA798B">
      <w:pPr>
        <w:jc w:val="center"/>
        <w:rPr>
          <w:rFonts w:ascii="PT Astra Serif" w:eastAsia="Times New Roman" w:hAnsi="PT Astra Serif"/>
          <w:b/>
          <w:sz w:val="24"/>
          <w:szCs w:val="24"/>
        </w:rPr>
      </w:pPr>
    </w:p>
    <w:p w:rsidR="00BA798B" w:rsidRDefault="00BA798B">
      <w:pPr>
        <w:jc w:val="center"/>
        <w:rPr>
          <w:rFonts w:ascii="PT Astra Serif" w:eastAsia="Times New Roman" w:hAnsi="PT Astra Serif"/>
          <w:b/>
          <w:sz w:val="24"/>
          <w:szCs w:val="24"/>
        </w:rPr>
      </w:pPr>
    </w:p>
    <w:p w:rsidR="00BA798B" w:rsidRDefault="00BA798B">
      <w:pPr>
        <w:jc w:val="center"/>
        <w:rPr>
          <w:rFonts w:ascii="PT Astra Serif" w:eastAsia="Times New Roman" w:hAnsi="PT Astra Serif"/>
          <w:b/>
          <w:sz w:val="24"/>
          <w:szCs w:val="24"/>
        </w:rPr>
      </w:pPr>
    </w:p>
    <w:p w:rsidR="00BA798B" w:rsidRDefault="008D5743">
      <w:pPr>
        <w:ind w:firstLine="0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BA798B" w:rsidSect="00552DC8">
      <w:type w:val="continuous"/>
      <w:pgSz w:w="11906" w:h="16838"/>
      <w:pgMar w:top="568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743" w:rsidRDefault="008D5743">
      <w:r>
        <w:separator/>
      </w:r>
    </w:p>
  </w:endnote>
  <w:endnote w:type="continuationSeparator" w:id="0">
    <w:p w:rsidR="008D5743" w:rsidRDefault="008D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743" w:rsidRDefault="008D5743">
      <w:r>
        <w:separator/>
      </w:r>
    </w:p>
  </w:footnote>
  <w:footnote w:type="continuationSeparator" w:id="0">
    <w:p w:rsidR="008D5743" w:rsidRDefault="008D5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57D5"/>
    <w:multiLevelType w:val="hybridMultilevel"/>
    <w:tmpl w:val="86F6146E"/>
    <w:lvl w:ilvl="0" w:tplc="25A80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CA685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AAC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AF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29D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468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4C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87D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828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F74B1"/>
    <w:multiLevelType w:val="hybridMultilevel"/>
    <w:tmpl w:val="DB249BCA"/>
    <w:lvl w:ilvl="0" w:tplc="3A761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FA84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222BE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E64C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02B5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B2EC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FE70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0E10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C422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23B99"/>
    <w:multiLevelType w:val="hybridMultilevel"/>
    <w:tmpl w:val="41A22E6E"/>
    <w:lvl w:ilvl="0" w:tplc="BD1A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F606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F06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CE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9677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180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6A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A0B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7A3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F0DF3"/>
    <w:multiLevelType w:val="multilevel"/>
    <w:tmpl w:val="666A66AA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480" w:hanging="480"/>
      </w:pPr>
      <w:rPr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151759ED"/>
    <w:multiLevelType w:val="multilevel"/>
    <w:tmpl w:val="EE024CC2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EC1E45"/>
    <w:multiLevelType w:val="hybridMultilevel"/>
    <w:tmpl w:val="F25C7D34"/>
    <w:lvl w:ilvl="0" w:tplc="975AF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B6D4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1CF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2E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6CDF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4A1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05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AE48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2ED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85E34"/>
    <w:multiLevelType w:val="hybridMultilevel"/>
    <w:tmpl w:val="6E727CEC"/>
    <w:lvl w:ilvl="0" w:tplc="0930FB20">
      <w:start w:val="1"/>
      <w:numFmt w:val="bullet"/>
      <w:lvlText w:val="*"/>
      <w:lvlJc w:val="left"/>
    </w:lvl>
    <w:lvl w:ilvl="1" w:tplc="B114CA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8279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712CD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A1825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04C44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6609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FCDF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B8F8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30D4750A"/>
    <w:multiLevelType w:val="hybridMultilevel"/>
    <w:tmpl w:val="7ED4F78C"/>
    <w:lvl w:ilvl="0" w:tplc="657E0B9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BB72B31E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3DA42CBC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AC4EAE50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AEA44748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1FB49640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7D384574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4060CB4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A1DAB85A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33FC1A71"/>
    <w:multiLevelType w:val="multilevel"/>
    <w:tmpl w:val="34680BEA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622" w:hanging="48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9">
    <w:nsid w:val="34CD4803"/>
    <w:multiLevelType w:val="multilevel"/>
    <w:tmpl w:val="72049B62"/>
    <w:lvl w:ilvl="0">
      <w:start w:val="10"/>
      <w:numFmt w:val="decimal"/>
      <w:lvlText w:val="%1."/>
      <w:lvlJc w:val="left"/>
      <w:pPr>
        <w:ind w:left="444" w:hanging="444"/>
      </w:pPr>
      <w:rPr>
        <w:rFonts w:eastAsia="Arial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eastAsia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/>
      </w:rPr>
    </w:lvl>
  </w:abstractNum>
  <w:abstractNum w:abstractNumId="10">
    <w:nsid w:val="384D2015"/>
    <w:multiLevelType w:val="multilevel"/>
    <w:tmpl w:val="99D87A1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AAA4313"/>
    <w:multiLevelType w:val="multilevel"/>
    <w:tmpl w:val="2C9244E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957" w:hanging="405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3DF22FEB"/>
    <w:multiLevelType w:val="multilevel"/>
    <w:tmpl w:val="88DCE21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46DD527D"/>
    <w:multiLevelType w:val="multilevel"/>
    <w:tmpl w:val="8A76470C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96F5BD8"/>
    <w:multiLevelType w:val="multilevel"/>
    <w:tmpl w:val="E6AA856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50906BEB"/>
    <w:multiLevelType w:val="multilevel"/>
    <w:tmpl w:val="3BEC16AC"/>
    <w:lvl w:ilvl="0">
      <w:start w:val="11"/>
      <w:numFmt w:val="decimal"/>
      <w:lvlText w:val="%1."/>
      <w:lvlJc w:val="left"/>
      <w:pPr>
        <w:ind w:left="465" w:hanging="465"/>
      </w:pPr>
      <w:rPr>
        <w:rFonts w:eastAsia="Arial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eastAsia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/>
      </w:rPr>
    </w:lvl>
  </w:abstractNum>
  <w:abstractNum w:abstractNumId="16">
    <w:nsid w:val="51DC2858"/>
    <w:multiLevelType w:val="hybridMultilevel"/>
    <w:tmpl w:val="E7BEE4C8"/>
    <w:lvl w:ilvl="0" w:tplc="4AB21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F05D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368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06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C31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A86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E6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C25B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D66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12350E"/>
    <w:multiLevelType w:val="multilevel"/>
    <w:tmpl w:val="4398A45C"/>
    <w:lvl w:ilvl="0">
      <w:start w:val="10"/>
      <w:numFmt w:val="decimal"/>
      <w:lvlText w:val="%1."/>
      <w:lvlJc w:val="left"/>
      <w:pPr>
        <w:ind w:left="480" w:hanging="48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18">
    <w:nsid w:val="59E31940"/>
    <w:multiLevelType w:val="multilevel"/>
    <w:tmpl w:val="D77E9D42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3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AD0090D"/>
    <w:multiLevelType w:val="multilevel"/>
    <w:tmpl w:val="879ABC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B0156E1"/>
    <w:multiLevelType w:val="hybridMultilevel"/>
    <w:tmpl w:val="6422F404"/>
    <w:lvl w:ilvl="0" w:tplc="C21AE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087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1CD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AF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EEE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044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C8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E55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100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3A1127"/>
    <w:multiLevelType w:val="multilevel"/>
    <w:tmpl w:val="0FCE993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79532709"/>
    <w:multiLevelType w:val="multilevel"/>
    <w:tmpl w:val="B5724C3C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4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D7E171B"/>
    <w:multiLevelType w:val="hybridMultilevel"/>
    <w:tmpl w:val="4A60D0A4"/>
    <w:lvl w:ilvl="0" w:tplc="CF5CB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546D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2AB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0C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4CD9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726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2F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E07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8F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3"/>
  </w:num>
  <w:num w:numId="8">
    <w:abstractNumId w:val="4"/>
  </w:num>
  <w:num w:numId="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lvl w:ilvl="0" w:tplc="0930FB20">
        <w:start w:val="1"/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14">
    <w:abstractNumId w:val="21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lvl w:ilvl="0" w:tplc="0930FB20">
        <w:start w:val="1"/>
        <w:numFmt w:val="bullet"/>
        <w:lvlText w:val="•"/>
        <w:legacy w:legacy="1" w:legacySpace="0" w:legacyIndent="336"/>
        <w:lvlJc w:val="left"/>
        <w:pPr>
          <w:ind w:left="0" w:firstLine="567"/>
        </w:pPr>
        <w:rPr>
          <w:rFonts w:ascii="Times New Roman" w:hAnsi="Times New Roman" w:cs="Times New Roman" w:hint="default"/>
        </w:rPr>
      </w:lvl>
    </w:lvlOverride>
  </w:num>
  <w:num w:numId="17">
    <w:abstractNumId w:val="6"/>
    <w:lvlOverride w:ilvl="0">
      <w:lvl w:ilvl="0" w:tplc="0930FB20">
        <w:start w:val="1"/>
        <w:numFmt w:val="bullet"/>
        <w:lvlText w:val="•"/>
        <w:legacy w:legacy="1" w:legacySpace="0" w:legacyIndent="336"/>
        <w:lvlJc w:val="left"/>
        <w:pPr>
          <w:ind w:left="-392" w:firstLine="567"/>
        </w:pPr>
        <w:rPr>
          <w:rFonts w:ascii="Times New Roman" w:hAnsi="Times New Roman" w:cs="Times New Roman" w:hint="default"/>
        </w:rPr>
      </w:lvl>
    </w:lvlOverride>
  </w:num>
  <w:num w:numId="18">
    <w:abstractNumId w:val="19"/>
  </w:num>
  <w:num w:numId="19">
    <w:abstractNumId w:val="3"/>
    <w:lvlOverride w:ilvl="0">
      <w:startOverride w:val="10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0"/>
  </w:num>
  <w:num w:numId="23">
    <w:abstractNumId w:val="20"/>
  </w:num>
  <w:num w:numId="24">
    <w:abstractNumId w:val="2"/>
  </w:num>
  <w:num w:numId="25">
    <w:abstractNumId w:val="16"/>
  </w:num>
  <w:num w:numId="2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8B"/>
    <w:rsid w:val="002E5CB9"/>
    <w:rsid w:val="004D5618"/>
    <w:rsid w:val="00552DC8"/>
    <w:rsid w:val="00775BBE"/>
    <w:rsid w:val="007E0BB2"/>
    <w:rsid w:val="00834BFD"/>
    <w:rsid w:val="008A5DF3"/>
    <w:rsid w:val="008D5743"/>
    <w:rsid w:val="00A5237F"/>
    <w:rsid w:val="00B4354B"/>
    <w:rsid w:val="00BA798B"/>
    <w:rsid w:val="00CE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Calibri" w:hAnsi="Tahoma" w:cs="Tahoma"/>
      <w:sz w:val="16"/>
      <w:szCs w:val="16"/>
    </w:rPr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f9">
    <w:name w:val="Body Text"/>
    <w:basedOn w:val="a"/>
    <w:link w:val="afa"/>
    <w:uiPriority w:val="99"/>
    <w:semiHidden/>
    <w:unhideWhenUsed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Pr>
      <w:rFonts w:ascii="Calibri" w:eastAsia="Calibri" w:hAnsi="Calibri" w:cs="Times New Roman"/>
    </w:rPr>
  </w:style>
  <w:style w:type="character" w:styleId="afb">
    <w:name w:val="footnote reference"/>
    <w:basedOn w:val="a0"/>
    <w:semiHidden/>
    <w:unhideWhenUsed/>
    <w:rPr>
      <w:vertAlign w:val="superscript"/>
    </w:rPr>
  </w:style>
  <w:style w:type="paragraph" w:styleId="afc">
    <w:name w:val="List Paragraph"/>
    <w:basedOn w:val="a"/>
    <w:link w:val="afd"/>
    <w:uiPriority w:val="34"/>
    <w:qFormat/>
    <w:pPr>
      <w:ind w:left="720"/>
      <w:contextualSpacing/>
    </w:pPr>
  </w:style>
  <w:style w:type="character" w:customStyle="1" w:styleId="afe">
    <w:name w:val="Без интервала Знак"/>
    <w:link w:val="aff"/>
    <w:uiPriority w:val="1"/>
    <w:rPr>
      <w:rFonts w:ascii="Calibri" w:eastAsia="Arial" w:hAnsi="Calibri"/>
      <w:lang w:eastAsia="ar-SA"/>
    </w:rPr>
  </w:style>
  <w:style w:type="paragraph" w:styleId="aff">
    <w:name w:val="No Spacing"/>
    <w:link w:val="afe"/>
    <w:uiPriority w:val="1"/>
    <w:qFormat/>
    <w:pPr>
      <w:ind w:firstLine="0"/>
      <w:jc w:val="left"/>
    </w:pPr>
    <w:rPr>
      <w:rFonts w:ascii="Calibri" w:eastAsia="Arial" w:hAnsi="Calibri"/>
      <w:lang w:eastAsia="ar-SA"/>
    </w:rPr>
  </w:style>
  <w:style w:type="character" w:customStyle="1" w:styleId="afd">
    <w:name w:val="Абзац списка Знак"/>
    <w:link w:val="afc"/>
    <w:uiPriority w:val="34"/>
    <w:qFormat/>
    <w:rPr>
      <w:rFonts w:ascii="Calibri" w:eastAsia="Calibri" w:hAnsi="Calibri" w:cs="Times New Roman"/>
    </w:rPr>
  </w:style>
  <w:style w:type="paragraph" w:styleId="aff0">
    <w:name w:val="Body Text Indent"/>
    <w:basedOn w:val="a"/>
    <w:link w:val="aff1"/>
    <w:uiPriority w:val="99"/>
    <w:unhideWhenUsed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uiPriority w:val="99"/>
    <w:rPr>
      <w:rFonts w:ascii="Calibri" w:eastAsia="Calibri" w:hAnsi="Calibri" w:cs="Times New Roman"/>
    </w:rPr>
  </w:style>
  <w:style w:type="paragraph" w:customStyle="1" w:styleId="s1">
    <w:name w:val="s_1"/>
    <w:basedOn w:val="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Гипертекстовая ссылка"/>
    <w:uiPriority w:val="99"/>
    <w:rPr>
      <w:color w:val="106BBE"/>
    </w:rPr>
  </w:style>
  <w:style w:type="table" w:styleId="aff3">
    <w:name w:val="Table Grid"/>
    <w:basedOn w:val="a1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Contents">
    <w:name w:val="Table Contents"/>
    <w:basedOn w:val="a"/>
    <w:pPr>
      <w:widowControl w:val="0"/>
      <w:suppressLineNumbers/>
      <w:ind w:firstLine="0"/>
      <w:jc w:val="left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s9">
    <w:name w:val="s_9"/>
    <w:basedOn w:val="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Calibri" w:hAnsi="Tahoma" w:cs="Tahoma"/>
      <w:sz w:val="16"/>
      <w:szCs w:val="16"/>
    </w:rPr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f9">
    <w:name w:val="Body Text"/>
    <w:basedOn w:val="a"/>
    <w:link w:val="afa"/>
    <w:uiPriority w:val="99"/>
    <w:semiHidden/>
    <w:unhideWhenUsed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Pr>
      <w:rFonts w:ascii="Calibri" w:eastAsia="Calibri" w:hAnsi="Calibri" w:cs="Times New Roman"/>
    </w:rPr>
  </w:style>
  <w:style w:type="character" w:styleId="afb">
    <w:name w:val="footnote reference"/>
    <w:basedOn w:val="a0"/>
    <w:semiHidden/>
    <w:unhideWhenUsed/>
    <w:rPr>
      <w:vertAlign w:val="superscript"/>
    </w:rPr>
  </w:style>
  <w:style w:type="paragraph" w:styleId="afc">
    <w:name w:val="List Paragraph"/>
    <w:basedOn w:val="a"/>
    <w:link w:val="afd"/>
    <w:uiPriority w:val="34"/>
    <w:qFormat/>
    <w:pPr>
      <w:ind w:left="720"/>
      <w:contextualSpacing/>
    </w:pPr>
  </w:style>
  <w:style w:type="character" w:customStyle="1" w:styleId="afe">
    <w:name w:val="Без интервала Знак"/>
    <w:link w:val="aff"/>
    <w:uiPriority w:val="1"/>
    <w:rPr>
      <w:rFonts w:ascii="Calibri" w:eastAsia="Arial" w:hAnsi="Calibri"/>
      <w:lang w:eastAsia="ar-SA"/>
    </w:rPr>
  </w:style>
  <w:style w:type="paragraph" w:styleId="aff">
    <w:name w:val="No Spacing"/>
    <w:link w:val="afe"/>
    <w:uiPriority w:val="1"/>
    <w:qFormat/>
    <w:pPr>
      <w:ind w:firstLine="0"/>
      <w:jc w:val="left"/>
    </w:pPr>
    <w:rPr>
      <w:rFonts w:ascii="Calibri" w:eastAsia="Arial" w:hAnsi="Calibri"/>
      <w:lang w:eastAsia="ar-SA"/>
    </w:rPr>
  </w:style>
  <w:style w:type="character" w:customStyle="1" w:styleId="afd">
    <w:name w:val="Абзац списка Знак"/>
    <w:link w:val="afc"/>
    <w:uiPriority w:val="34"/>
    <w:qFormat/>
    <w:rPr>
      <w:rFonts w:ascii="Calibri" w:eastAsia="Calibri" w:hAnsi="Calibri" w:cs="Times New Roman"/>
    </w:rPr>
  </w:style>
  <w:style w:type="paragraph" w:styleId="aff0">
    <w:name w:val="Body Text Indent"/>
    <w:basedOn w:val="a"/>
    <w:link w:val="aff1"/>
    <w:uiPriority w:val="99"/>
    <w:unhideWhenUsed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uiPriority w:val="99"/>
    <w:rPr>
      <w:rFonts w:ascii="Calibri" w:eastAsia="Calibri" w:hAnsi="Calibri" w:cs="Times New Roman"/>
    </w:rPr>
  </w:style>
  <w:style w:type="paragraph" w:customStyle="1" w:styleId="s1">
    <w:name w:val="s_1"/>
    <w:basedOn w:val="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Гипертекстовая ссылка"/>
    <w:uiPriority w:val="99"/>
    <w:rPr>
      <w:color w:val="106BBE"/>
    </w:rPr>
  </w:style>
  <w:style w:type="table" w:styleId="aff3">
    <w:name w:val="Table Grid"/>
    <w:basedOn w:val="a1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Contents">
    <w:name w:val="Table Contents"/>
    <w:basedOn w:val="a"/>
    <w:pPr>
      <w:widowControl w:val="0"/>
      <w:suppressLineNumbers/>
      <w:ind w:firstLine="0"/>
      <w:jc w:val="left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s9">
    <w:name w:val="s_9"/>
    <w:basedOn w:val="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42B42-01DA-46D9-934B-ACB0941F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Зарицкая Марина Викторовна</dc:creator>
  <cp:lastModifiedBy>Скороходова Людмила Сабитовна</cp:lastModifiedBy>
  <cp:revision>133</cp:revision>
  <cp:lastPrinted>2026-05-19T10:19:00Z</cp:lastPrinted>
  <dcterms:created xsi:type="dcterms:W3CDTF">2024-02-02T05:37:00Z</dcterms:created>
  <dcterms:modified xsi:type="dcterms:W3CDTF">2026-05-19T10:20:00Z</dcterms:modified>
</cp:coreProperties>
</file>